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489A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869AB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7A171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bookmarkStart w:id="1" w:name="OLE_LINK117"/>
            <w:bookmarkStart w:id="2" w:name="OLE_LINK118"/>
            <w:r>
              <w:rPr>
                <w:rFonts w:ascii="黑体" w:hAnsi="黑体" w:eastAsia="黑体"/>
                <w:sz w:val="21"/>
                <w:szCs w:val="21"/>
              </w:rPr>
              <w:t>67.080.10</w:t>
            </w:r>
            <w:bookmarkEnd w:id="1"/>
            <w:bookmarkEnd w:id="2"/>
            <w:r>
              <w:rPr>
                <w:rFonts w:ascii="黑体" w:hAnsi="黑体" w:eastAsia="黑体"/>
                <w:sz w:val="21"/>
                <w:szCs w:val="21"/>
              </w:rPr>
              <w:t xml:space="preserve"> </w:t>
            </w:r>
            <w:r>
              <w:rPr>
                <w:rFonts w:ascii="黑体" w:hAnsi="黑体" w:eastAsia="黑体"/>
                <w:sz w:val="21"/>
                <w:szCs w:val="21"/>
              </w:rPr>
              <w:fldChar w:fldCharType="end"/>
            </w:r>
            <w:bookmarkEnd w:id="0"/>
          </w:p>
        </w:tc>
      </w:tr>
      <w:tr w14:paraId="2D2A0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71609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EDFA48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rPr>
              <w:t xml:space="preserve"> </w:t>
            </w:r>
            <w:r>
              <w:rPr>
                <w:rFonts w:ascii="黑体" w:hAnsi="黑体" w:eastAsia="黑体"/>
                <w:sz w:val="21"/>
                <w:szCs w:val="21"/>
              </w:rPr>
              <w:t>31</w:t>
            </w:r>
            <w:r>
              <w:rPr>
                <w:rFonts w:ascii="黑体" w:hAnsi="黑体" w:eastAsia="黑体"/>
                <w:sz w:val="21"/>
                <w:szCs w:val="21"/>
              </w:rPr>
              <w:fldChar w:fldCharType="end"/>
            </w:r>
            <w:bookmarkEnd w:id="3"/>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96E4F7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75D91E3">
            <w:pPr>
              <w:pStyle w:val="49"/>
              <w:framePr w:w="0" w:hRule="auto" w:wrap="auto" w:vAnchor="margin" w:hAnchor="text" w:xAlign="left" w:yAlign="inline"/>
              <w:rPr>
                <w:rFonts w:ascii="宋体" w:hAnsi="宋体"/>
                <w:sz w:val="28"/>
                <w:szCs w:val="28"/>
              </w:rPr>
            </w:pPr>
            <w:bookmarkStart w:id="4"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5" w:name="c1"/>
            <w:r>
              <w:instrText xml:space="preserve"> FORMTEXT </w:instrText>
            </w:r>
            <w:r>
              <w:fldChar w:fldCharType="separate"/>
            </w:r>
            <w:r>
              <w:t>34</w:t>
            </w:r>
            <w:r>
              <w:fldChar w:fldCharType="end"/>
            </w:r>
            <w:bookmarkEnd w:id="5"/>
          </w:p>
        </w:tc>
      </w:tr>
    </w:tbl>
    <w:p w14:paraId="6CBB785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6"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安徽省</w:t>
      </w:r>
      <w:r>
        <w:rPr>
          <w:rFonts w:ascii="黑体" w:eastAsia="黑体"/>
          <w:b w:val="0"/>
          <w:w w:val="100"/>
          <w:sz w:val="48"/>
        </w:rPr>
        <w:fldChar w:fldCharType="end"/>
      </w:r>
      <w:bookmarkEnd w:id="6"/>
      <w:r>
        <w:rPr>
          <w:rFonts w:hint="eastAsia" w:ascii="黑体" w:hAnsi="黑体" w:eastAsia="黑体"/>
          <w:b w:val="0"/>
          <w:bCs w:val="0"/>
          <w:w w:val="100"/>
          <w:sz w:val="48"/>
          <w:szCs w:val="48"/>
        </w:rPr>
        <w:t>地方标准</w:t>
      </w:r>
    </w:p>
    <w:bookmarkEnd w:id="4"/>
    <w:p w14:paraId="28F97C79">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7" w:name="文字1"/>
      <w:r>
        <w:rPr>
          <w:lang w:val="fr-FR"/>
        </w:rPr>
        <w:instrText xml:space="preserve"> FORMTEXT </w:instrText>
      </w:r>
      <w:r>
        <w:fldChar w:fldCharType="separate"/>
      </w:r>
      <w:r>
        <w:rPr>
          <w:lang w:val="fr-FR"/>
        </w:rPr>
        <w:t>34/T</w:t>
      </w:r>
      <w:r>
        <w:fldChar w:fldCharType="end"/>
      </w:r>
      <w:bookmarkEnd w:id="7"/>
      <w:r>
        <w:rPr>
          <w:lang w:val="fr-FR"/>
        </w:rPr>
        <w:t xml:space="preserve"> </w:t>
      </w:r>
      <w:r>
        <w:fldChar w:fldCharType="begin">
          <w:ffData>
            <w:name w:val="NSTD_CODE_F"/>
            <w:enabled/>
            <w:calcOnExit w:val="0"/>
            <w:textInput>
              <w:default w:val="XXXX"/>
            </w:textInput>
          </w:ffData>
        </w:fldChar>
      </w:r>
      <w:bookmarkStart w:id="8" w:name="NSTD_CODE_F"/>
      <w:r>
        <w:rPr>
          <w:lang w:val="fr-FR"/>
        </w:rPr>
        <w:instrText xml:space="preserve"> FORMTEXT </w:instrText>
      </w:r>
      <w:r>
        <w:fldChar w:fldCharType="separate"/>
      </w:r>
      <w:r>
        <w:rPr>
          <w:lang w:val="fr-FR"/>
        </w:rPr>
        <w:t>XXXX</w:t>
      </w:r>
      <w:r>
        <w:fldChar w:fldCharType="end"/>
      </w:r>
      <w:bookmarkEnd w:id="8"/>
      <w:r>
        <w:rPr>
          <w:rFonts w:hAnsi="黑体"/>
          <w:lang w:val="fr-FR"/>
        </w:rPr>
        <w:t>—</w:t>
      </w:r>
      <w:r>
        <w:fldChar w:fldCharType="begin">
          <w:ffData>
            <w:name w:val="NSTD_CODE_B"/>
            <w:enabled/>
            <w:calcOnExit w:val="0"/>
            <w:textInput>
              <w:default w:val="XXXX"/>
            </w:textInput>
          </w:ffData>
        </w:fldChar>
      </w:r>
      <w:bookmarkStart w:id="9" w:name="NSTD_CODE_B"/>
      <w:r>
        <w:rPr>
          <w:lang w:val="fr-FR"/>
        </w:rPr>
        <w:instrText xml:space="preserve"> FORMTEXT </w:instrText>
      </w:r>
      <w:r>
        <w:fldChar w:fldCharType="separate"/>
      </w:r>
      <w:r>
        <w:rPr>
          <w:lang w:val="fr-FR"/>
        </w:rPr>
        <w:t>XXXX</w:t>
      </w:r>
      <w:r>
        <w:fldChar w:fldCharType="end"/>
      </w:r>
      <w:bookmarkEnd w:id="9"/>
    </w:p>
    <w:p w14:paraId="07DC9B66">
      <w:pPr>
        <w:pStyle w:val="196"/>
        <w:framePr/>
        <w:rPr>
          <w:rFonts w:hAnsi="黑体"/>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0"/>
    </w:p>
    <w:p w14:paraId="4F18EA5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457B223">
      <w:pPr>
        <w:pStyle w:val="50"/>
        <w:framePr w:w="9639" w:h="6976" w:hRule="exact" w:hSpace="0" w:vSpace="0" w:wrap="around" w:hAnchor="page" w:y="6408"/>
        <w:jc w:val="center"/>
        <w:rPr>
          <w:rFonts w:ascii="黑体" w:hAnsi="黑体" w:eastAsia="黑体"/>
          <w:b w:val="0"/>
          <w:bCs w:val="0"/>
          <w:w w:val="100"/>
        </w:rPr>
      </w:pPr>
    </w:p>
    <w:p w14:paraId="5EED7E59">
      <w:pPr>
        <w:pStyle w:val="197"/>
        <w:framePr w:h="6974" w:hRule="exact" w:wrap="around"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t>地理标志产品质量要求 大圩葡萄</w:t>
      </w:r>
      <w:r>
        <w:fldChar w:fldCharType="end"/>
      </w:r>
      <w:bookmarkEnd w:id="11"/>
    </w:p>
    <w:p w14:paraId="3B4E3B31">
      <w:pPr>
        <w:framePr w:w="9639" w:h="6974" w:hRule="exact" w:wrap="around" w:vAnchor="page" w:hAnchor="page" w:x="1419" w:y="6408" w:anchorLock="1"/>
        <w:ind w:left="-1418"/>
      </w:pPr>
    </w:p>
    <w:p w14:paraId="30CDBC7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2" w:name="ESTD_NAME"/>
      <w:r>
        <w:rPr>
          <w:rFonts w:eastAsia="黑体"/>
          <w:szCs w:val="28"/>
        </w:rPr>
        <w:instrText xml:space="preserve"> FORMTEXT </w:instrText>
      </w:r>
      <w:r>
        <w:rPr>
          <w:rFonts w:eastAsia="黑体"/>
          <w:szCs w:val="28"/>
        </w:rPr>
        <w:fldChar w:fldCharType="separate"/>
      </w:r>
      <w:bookmarkStart w:id="13" w:name="OLE_LINK119"/>
      <w:bookmarkStart w:id="14" w:name="OLE_LINK120"/>
      <w:r>
        <w:rPr>
          <w:rFonts w:eastAsia="黑体"/>
          <w:szCs w:val="28"/>
        </w:rPr>
        <w:t>Quality requirements for product of geographical indication―Dawei grape</w:t>
      </w:r>
      <w:bookmarkEnd w:id="13"/>
      <w:bookmarkEnd w:id="14"/>
      <w:r>
        <w:rPr>
          <w:rFonts w:eastAsia="黑体"/>
          <w:szCs w:val="28"/>
        </w:rPr>
        <w:fldChar w:fldCharType="end"/>
      </w:r>
      <w:bookmarkEnd w:id="12"/>
    </w:p>
    <w:p w14:paraId="72F2161F">
      <w:pPr>
        <w:framePr w:w="9639" w:h="6974" w:hRule="exact" w:wrap="around" w:vAnchor="page" w:hAnchor="page" w:x="1419" w:y="6408" w:anchorLock="1"/>
        <w:spacing w:line="760" w:lineRule="exact"/>
        <w:ind w:left="-1418"/>
      </w:pPr>
    </w:p>
    <w:p w14:paraId="788114CB">
      <w:pPr>
        <w:pStyle w:val="125"/>
        <w:framePr w:w="9639" w:h="6974" w:hRule="exact" w:wrap="around" w:vAnchor="page" w:hAnchor="page" w:x="1419" w:y="6408" w:anchorLock="1"/>
        <w:textAlignment w:val="bottom"/>
        <w:rPr>
          <w:rFonts w:eastAsia="黑体"/>
          <w:szCs w:val="28"/>
        </w:rPr>
      </w:pPr>
    </w:p>
    <w:p w14:paraId="56F1C9E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5" w:name="下拉1"/>
      <w:r>
        <w:rPr>
          <w:sz w:val="24"/>
          <w:szCs w:val="28"/>
        </w:rPr>
        <w:instrText xml:space="preserve"> FORMDROPDOWN </w:instrText>
      </w:r>
      <w:r>
        <w:rPr>
          <w:sz w:val="24"/>
          <w:szCs w:val="28"/>
        </w:rPr>
        <w:fldChar w:fldCharType="separate"/>
      </w:r>
      <w:r>
        <w:rPr>
          <w:sz w:val="24"/>
          <w:szCs w:val="28"/>
        </w:rPr>
        <w:fldChar w:fldCharType="end"/>
      </w:r>
      <w:bookmarkEnd w:id="15"/>
    </w:p>
    <w:p w14:paraId="0A199E9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6"/>
    </w:p>
    <w:p w14:paraId="316B0E2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7" w:name="下拉2"/>
      <w:r>
        <w:rPr>
          <w:b/>
          <w:sz w:val="21"/>
          <w:szCs w:val="28"/>
        </w:rPr>
        <w:instrText xml:space="preserve"> FORMDROPDOWN </w:instrText>
      </w:r>
      <w:r>
        <w:rPr>
          <w:b/>
          <w:sz w:val="21"/>
          <w:szCs w:val="28"/>
        </w:rPr>
        <w:fldChar w:fldCharType="separate"/>
      </w:r>
      <w:r>
        <w:rPr>
          <w:b/>
          <w:sz w:val="21"/>
          <w:szCs w:val="28"/>
        </w:rPr>
        <w:fldChar w:fldCharType="end"/>
      </w:r>
      <w:bookmarkEnd w:id="17"/>
    </w:p>
    <w:p w14:paraId="3EAD86F0">
      <w:pPr>
        <w:pStyle w:val="193"/>
        <w:framePr w:wrap="around" w:y="14176"/>
      </w:pPr>
      <w:r>
        <w:rPr>
          <w:rFonts w:ascii="黑体"/>
        </w:rPr>
        <w:fldChar w:fldCharType="begin">
          <w:ffData>
            <w:name w:val="PLSH_DATE_Y"/>
            <w:enabled/>
            <w:calcOnExit w:val="0"/>
            <w:textInput>
              <w:default w:val="XXXX"/>
              <w:maxLength w:val="4"/>
            </w:textInput>
          </w:ffData>
        </w:fldChar>
      </w:r>
      <w:bookmarkStart w:id="1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2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发布</w:t>
      </w:r>
    </w:p>
    <w:p w14:paraId="09343601">
      <w:pPr>
        <w:pStyle w:val="194"/>
        <w:framePr w:wrap="around" w:y="14176"/>
      </w:pPr>
      <w:r>
        <w:rPr>
          <w:rFonts w:ascii="黑体"/>
        </w:rPr>
        <w:fldChar w:fldCharType="begin">
          <w:ffData>
            <w:name w:val="CROT_DATE_Y"/>
            <w:enabled/>
            <w:calcOnExit w:val="0"/>
            <w:textInput>
              <w:default w:val="XXXX"/>
              <w:maxLength w:val="4"/>
            </w:textInput>
          </w:ffData>
        </w:fldChar>
      </w:r>
      <w:bookmarkStart w:id="2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2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3"/>
      <w:r>
        <w:rPr>
          <w:rFonts w:hint="eastAsia"/>
        </w:rPr>
        <w:t>实施</w:t>
      </w:r>
    </w:p>
    <w:p w14:paraId="397E7A4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4" w:name="fm"/>
      <w:r>
        <w:rPr>
          <w:rFonts w:hAnsi="黑体"/>
          <w:w w:val="100"/>
          <w:sz w:val="28"/>
        </w:rPr>
        <w:instrText xml:space="preserve"> FORMTEXT </w:instrText>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2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C0621B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F41DC93">
      <w:pPr>
        <w:pStyle w:val="89"/>
        <w:spacing w:before="900" w:after="468"/>
      </w:pPr>
      <w:bookmarkStart w:id="25" w:name="BookMark2"/>
      <w:r>
        <w:rPr>
          <w:spacing w:val="320"/>
        </w:rPr>
        <w:t>前</w:t>
      </w:r>
      <w:r>
        <w:t>言</w:t>
      </w:r>
    </w:p>
    <w:p w14:paraId="3C331F93">
      <w:pPr>
        <w:pStyle w:val="56"/>
        <w:ind w:firstLine="420"/>
      </w:pPr>
      <w:r>
        <w:rPr>
          <w:rFonts w:hint="eastAsia"/>
        </w:rPr>
        <w:t>本文件按照GB/T 1.1—2020《标准化工作导则  第1部分：标准化文件的结构和起草规则》的规定起草。</w:t>
      </w:r>
    </w:p>
    <w:p w14:paraId="3D916C51">
      <w:pPr>
        <w:pStyle w:val="56"/>
        <w:ind w:firstLine="420"/>
      </w:pPr>
      <w:bookmarkStart w:id="26" w:name="OLE_LINK122"/>
      <w:bookmarkStart w:id="27" w:name="OLE_LINK121"/>
      <w:r>
        <w:rPr>
          <w:rFonts w:hint="eastAsia"/>
        </w:rPr>
        <w:t>本文件规定了食品质量相关技术要求，食品安全相关要求见有关法律法规、政策和食品安全标准等文件。</w:t>
      </w:r>
    </w:p>
    <w:p w14:paraId="2367E6D0">
      <w:pPr>
        <w:pStyle w:val="56"/>
        <w:ind w:firstLine="420"/>
      </w:pPr>
      <w:r>
        <w:rPr>
          <w:rFonts w:hint="eastAsia"/>
        </w:rPr>
        <w:t>请注意本文件的某些内容可能涉及专利。本文件的发布机构不承担识别专利的责任。</w:t>
      </w:r>
    </w:p>
    <w:bookmarkEnd w:id="26"/>
    <w:bookmarkEnd w:id="27"/>
    <w:p w14:paraId="43D95C50">
      <w:pPr>
        <w:pStyle w:val="56"/>
        <w:ind w:firstLine="420"/>
      </w:pPr>
      <w:r>
        <w:rPr>
          <w:rFonts w:hint="eastAsia"/>
        </w:rPr>
        <w:t>本文件由安徽省市场监督管理局提出并归口。</w:t>
      </w:r>
    </w:p>
    <w:p w14:paraId="171CDFA0">
      <w:pPr>
        <w:pStyle w:val="56"/>
        <w:ind w:firstLine="420"/>
      </w:pPr>
      <w:r>
        <w:rPr>
          <w:rFonts w:hint="eastAsia"/>
        </w:rPr>
        <w:t>本文件起草单位：</w:t>
      </w:r>
    </w:p>
    <w:p w14:paraId="20069800">
      <w:pPr>
        <w:pStyle w:val="56"/>
        <w:ind w:firstLine="420"/>
      </w:pPr>
      <w:r>
        <w:rPr>
          <w:rFonts w:hint="eastAsia"/>
        </w:rPr>
        <w:t>本文件主要起草人：</w:t>
      </w:r>
    </w:p>
    <w:p w14:paraId="648EFF34">
      <w:pPr>
        <w:pStyle w:val="56"/>
        <w:ind w:firstLine="420"/>
      </w:pPr>
    </w:p>
    <w:p w14:paraId="24A92993">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5"/>
    <w:p w14:paraId="3DC3A3B0">
      <w:pPr>
        <w:spacing w:line="20" w:lineRule="exact"/>
        <w:jc w:val="center"/>
        <w:rPr>
          <w:rFonts w:ascii="黑体" w:hAnsi="黑体" w:eastAsia="黑体"/>
          <w:sz w:val="32"/>
          <w:szCs w:val="32"/>
        </w:rPr>
      </w:pPr>
      <w:bookmarkStart w:id="28" w:name="BookMark4"/>
    </w:p>
    <w:p w14:paraId="3D9D5CD8">
      <w:pPr>
        <w:spacing w:line="20" w:lineRule="exact"/>
        <w:jc w:val="center"/>
        <w:rPr>
          <w:rFonts w:ascii="黑体" w:hAnsi="黑体" w:eastAsia="黑体"/>
          <w:sz w:val="32"/>
          <w:szCs w:val="32"/>
        </w:rPr>
      </w:pPr>
    </w:p>
    <w:sdt>
      <w:sdtPr>
        <w:tag w:val="NEW_STAND_NAME"/>
        <w:id w:val="595910757"/>
        <w:lock w:val="sdtLocked"/>
        <w:placeholder>
          <w:docPart w:val="1664A661453349358A7DC7CBC8FC80F9"/>
        </w:placeholder>
      </w:sdtPr>
      <w:sdtContent>
        <w:p w14:paraId="229DB558">
          <w:pPr>
            <w:pStyle w:val="177"/>
            <w:spacing w:before="3" w:beforeLines="1" w:after="686" w:afterLines="220"/>
          </w:pPr>
          <w:bookmarkStart w:id="29" w:name="NEW_STAND_NAME"/>
          <w:r>
            <w:rPr>
              <w:rFonts w:hint="eastAsia"/>
            </w:rPr>
            <w:t>地理标志产品质量要求</w:t>
          </w:r>
          <w:r>
            <w:t xml:space="preserve"> 大圩葡萄</w:t>
          </w:r>
        </w:p>
      </w:sdtContent>
    </w:sdt>
    <w:bookmarkEnd w:id="29"/>
    <w:p w14:paraId="5AF85B9B">
      <w:pPr>
        <w:pStyle w:val="104"/>
        <w:spacing w:before="312" w:after="312"/>
      </w:pPr>
      <w:bookmarkStart w:id="30" w:name="_Toc26986771"/>
      <w:bookmarkStart w:id="31" w:name="_Toc26986530"/>
      <w:bookmarkStart w:id="32" w:name="_Toc24884211"/>
      <w:bookmarkStart w:id="33" w:name="_Toc24884218"/>
      <w:bookmarkStart w:id="34" w:name="_Toc26648465"/>
      <w:bookmarkStart w:id="35" w:name="_Toc26718930"/>
      <w:bookmarkStart w:id="36" w:name="_Toc97191423"/>
      <w:bookmarkStart w:id="37" w:name="_Toc17233325"/>
      <w:bookmarkStart w:id="38" w:name="_Toc17233333"/>
      <w:r>
        <w:rPr>
          <w:rFonts w:hint="eastAsia"/>
        </w:rPr>
        <w:t>范围</w:t>
      </w:r>
      <w:bookmarkEnd w:id="30"/>
      <w:bookmarkEnd w:id="31"/>
      <w:bookmarkEnd w:id="32"/>
      <w:bookmarkEnd w:id="33"/>
      <w:bookmarkEnd w:id="34"/>
      <w:bookmarkEnd w:id="35"/>
      <w:bookmarkEnd w:id="36"/>
      <w:bookmarkEnd w:id="37"/>
      <w:bookmarkEnd w:id="38"/>
    </w:p>
    <w:p w14:paraId="5FB52DD9">
      <w:pPr>
        <w:pStyle w:val="56"/>
        <w:ind w:firstLine="420"/>
      </w:pPr>
      <w:bookmarkStart w:id="39" w:name="OLE_LINK123"/>
      <w:bookmarkStart w:id="40" w:name="OLE_LINK124"/>
      <w:bookmarkStart w:id="41" w:name="_Toc26648466"/>
      <w:bookmarkStart w:id="42" w:name="_Toc24884219"/>
      <w:bookmarkStart w:id="43" w:name="_Toc17233326"/>
      <w:bookmarkStart w:id="44" w:name="_Toc24884212"/>
      <w:bookmarkStart w:id="45" w:name="_Toc17233334"/>
      <w:r>
        <w:t>本文件界定了大圩葡萄</w:t>
      </w:r>
      <w:bookmarkStart w:id="46" w:name="OLE_LINK319"/>
      <w:r>
        <w:t>的术语和定义，规定了保护范围、产地环境、技术要求、质量要求、检验规则、标志、包装、运输和贮存，描述了相应的检验方法。</w:t>
      </w:r>
    </w:p>
    <w:bookmarkEnd w:id="46"/>
    <w:p w14:paraId="3D515251">
      <w:pPr>
        <w:pStyle w:val="56"/>
        <w:ind w:firstLine="420"/>
      </w:pPr>
      <w:r>
        <w:rPr>
          <w:rFonts w:hint="eastAsia"/>
        </w:rPr>
        <w:t>本文件适用于地理标志产品大圩葡萄的生产、流通、检验，也适用于地理标志产品麻江蓝莓的保护和管理。</w:t>
      </w:r>
    </w:p>
    <w:bookmarkEnd w:id="39"/>
    <w:bookmarkEnd w:id="40"/>
    <w:p w14:paraId="693CE909">
      <w:pPr>
        <w:pStyle w:val="104"/>
        <w:spacing w:before="312" w:after="312"/>
      </w:pPr>
      <w:bookmarkStart w:id="47" w:name="_Toc97191424"/>
      <w:bookmarkStart w:id="48" w:name="_Toc26986531"/>
      <w:bookmarkStart w:id="49" w:name="_Toc26718931"/>
      <w:bookmarkStart w:id="50" w:name="_Toc26986772"/>
      <w:r>
        <w:rPr>
          <w:rFonts w:hint="eastAsia"/>
        </w:rPr>
        <w:t>规范性引用文件</w:t>
      </w:r>
      <w:bookmarkEnd w:id="41"/>
      <w:bookmarkEnd w:id="42"/>
      <w:bookmarkEnd w:id="43"/>
      <w:bookmarkEnd w:id="44"/>
      <w:bookmarkEnd w:id="45"/>
      <w:bookmarkEnd w:id="47"/>
      <w:bookmarkEnd w:id="48"/>
      <w:bookmarkEnd w:id="49"/>
      <w:bookmarkEnd w:id="50"/>
    </w:p>
    <w:sdt>
      <w:sdtPr>
        <w:rPr>
          <w:rFonts w:hint="eastAsia"/>
        </w:rPr>
        <w:id w:val="715848253"/>
        <w:placeholder>
          <w:docPart w:val="FC1ED53E4B32472084B8FDD4E538ED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BAEDEF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CF3368">
      <w:pPr>
        <w:pStyle w:val="56"/>
        <w:ind w:firstLine="420"/>
      </w:pPr>
      <w:bookmarkStart w:id="51" w:name="_Hlk199493549"/>
      <w:r>
        <w:rPr>
          <w:rFonts w:hint="eastAsia"/>
        </w:rPr>
        <w:t xml:space="preserve">GB/T 191 </w:t>
      </w:r>
      <w:bookmarkStart w:id="52" w:name="OLE_LINK195"/>
      <w:r>
        <w:rPr>
          <w:rFonts w:hint="eastAsia"/>
        </w:rPr>
        <w:t>包装储运图示标志</w:t>
      </w:r>
      <w:bookmarkEnd w:id="52"/>
    </w:p>
    <w:p w14:paraId="02EE21A3">
      <w:pPr>
        <w:pStyle w:val="56"/>
        <w:ind w:firstLine="420"/>
      </w:pPr>
      <w:r>
        <w:rPr>
          <w:rFonts w:hint="eastAsia"/>
        </w:rPr>
        <w:t>GB/T 8855 新鲜果蔬 取样方法</w:t>
      </w:r>
    </w:p>
    <w:p w14:paraId="52FE2052">
      <w:pPr>
        <w:pStyle w:val="56"/>
        <w:ind w:firstLine="420"/>
      </w:pPr>
      <w:r>
        <w:rPr>
          <w:rFonts w:hint="eastAsia"/>
        </w:rPr>
        <w:t>NY/T 839-2004 鲜李</w:t>
      </w:r>
    </w:p>
    <w:p w14:paraId="302D9F58">
      <w:pPr>
        <w:pStyle w:val="56"/>
        <w:ind w:firstLine="420"/>
      </w:pPr>
      <w:r>
        <w:rPr>
          <w:rFonts w:hint="eastAsia"/>
        </w:rPr>
        <w:t>N</w:t>
      </w:r>
      <w:bookmarkStart w:id="53" w:name="OLE_LINK196"/>
      <w:bookmarkStart w:id="54" w:name="OLE_LINK197"/>
      <w:bookmarkStart w:id="55" w:name="OLE_LINK200"/>
      <w:r>
        <w:rPr>
          <w:rFonts w:hint="eastAsia"/>
        </w:rPr>
        <w:t>Y/T 2637 水果和蔬菜可溶性固形物含量的测定 折射仪法</w:t>
      </w:r>
      <w:bookmarkEnd w:id="53"/>
      <w:bookmarkEnd w:id="54"/>
      <w:bookmarkEnd w:id="55"/>
      <w:r>
        <w:rPr>
          <w:rFonts w:hint="eastAsia"/>
        </w:rPr>
        <w:t xml:space="preserve"> </w:t>
      </w:r>
    </w:p>
    <w:p w14:paraId="398A24FA">
      <w:pPr>
        <w:pStyle w:val="56"/>
        <w:ind w:firstLine="420"/>
      </w:pPr>
      <w:r>
        <w:rPr>
          <w:rFonts w:hint="eastAsia"/>
        </w:rPr>
        <w:t>NY/T 2742 水果及制品可溶性糖的测定3,5-二硝基水杨酸比色法</w:t>
      </w:r>
    </w:p>
    <w:bookmarkEnd w:id="51"/>
    <w:p w14:paraId="67BBEF6C">
      <w:pPr>
        <w:pStyle w:val="104"/>
        <w:spacing w:before="312" w:after="312"/>
      </w:pPr>
      <w:bookmarkStart w:id="56" w:name="_Toc97191425"/>
      <w:r>
        <w:rPr>
          <w:rFonts w:hint="eastAsia"/>
          <w:szCs w:val="21"/>
        </w:rPr>
        <w:t>术语和定义</w:t>
      </w:r>
      <w:bookmarkEnd w:id="56"/>
      <w:r>
        <w:rPr>
          <w:rFonts w:hint="eastAsia"/>
          <w:szCs w:val="21"/>
        </w:rPr>
        <w:t xml:space="preserve"> </w:t>
      </w:r>
    </w:p>
    <w:sdt>
      <w:sdtPr>
        <w:id w:val="-1909835108"/>
        <w:placeholder>
          <w:docPart w:val="E3AAC2EA122F4504867F260A922301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6727D40">
          <w:pPr>
            <w:pStyle w:val="56"/>
            <w:ind w:firstLine="420"/>
          </w:pPr>
          <w:bookmarkStart w:id="57" w:name="_Toc26986532"/>
          <w:bookmarkEnd w:id="57"/>
          <w:r>
            <w:t>下列术语和定义适用于本文件。</w:t>
          </w:r>
        </w:p>
      </w:sdtContent>
    </w:sdt>
    <w:p w14:paraId="23E9543F">
      <w:pPr>
        <w:pStyle w:val="223"/>
        <w:ind w:left="420" w:hanging="420" w:hangingChars="200"/>
        <w:rPr>
          <w:rFonts w:ascii="黑体" w:hAnsi="黑体" w:eastAsia="黑体"/>
        </w:rPr>
      </w:pPr>
      <w:r>
        <w:rPr>
          <w:rFonts w:ascii="黑体" w:hAnsi="黑体" w:eastAsia="黑体"/>
        </w:rPr>
        <w:br w:type="textWrapping"/>
      </w:r>
      <w:bookmarkStart w:id="58" w:name="OLE_LINK126"/>
      <w:bookmarkStart w:id="59" w:name="OLE_LINK125"/>
      <w:r>
        <w:rPr>
          <w:rFonts w:ascii="黑体" w:hAnsi="黑体" w:eastAsia="黑体"/>
        </w:rPr>
        <w:t>大圩葡萄</w:t>
      </w:r>
      <w:r>
        <w:rPr>
          <w:rFonts w:hint="eastAsia" w:ascii="黑体" w:hAnsi="黑体" w:eastAsia="黑体"/>
        </w:rPr>
        <w:t xml:space="preserve">  </w:t>
      </w:r>
      <w:r>
        <w:rPr>
          <w:rFonts w:ascii="黑体" w:hAnsi="黑体" w:eastAsia="黑体"/>
        </w:rPr>
        <w:t>Dawei grape</w:t>
      </w:r>
    </w:p>
    <w:p w14:paraId="456B23E2">
      <w:pPr>
        <w:pStyle w:val="56"/>
        <w:ind w:firstLine="420"/>
      </w:pPr>
      <w:r>
        <w:t>产自保护范围（4）内满足特定质量要求（7）的葡萄。</w:t>
      </w:r>
    </w:p>
    <w:bookmarkEnd w:id="58"/>
    <w:bookmarkEnd w:id="59"/>
    <w:p w14:paraId="19086876">
      <w:pPr>
        <w:pStyle w:val="104"/>
        <w:spacing w:before="312" w:after="312"/>
      </w:pPr>
      <w:r>
        <w:t>保护范围</w:t>
      </w:r>
    </w:p>
    <w:p w14:paraId="4784687B">
      <w:pPr>
        <w:pStyle w:val="56"/>
        <w:ind w:firstLine="420"/>
      </w:pPr>
      <w:r>
        <w:rPr>
          <w:rFonts w:hint="eastAsia"/>
        </w:rPr>
        <w:t>大圩葡萄地理标志产品产地范围限定于国家知识产权行政管理部门发布的批准公告中的产地范围，即安徽省合肥市包河区大圩镇现辖行政区域，具体见附录A。</w:t>
      </w:r>
    </w:p>
    <w:p w14:paraId="71EB3C11">
      <w:pPr>
        <w:pStyle w:val="104"/>
        <w:spacing w:before="312" w:after="312"/>
      </w:pPr>
      <w:bookmarkStart w:id="60" w:name="OLE_LINK128"/>
      <w:bookmarkStart w:id="61" w:name="OLE_LINK127"/>
      <w:r>
        <w:t>产地环境</w:t>
      </w:r>
    </w:p>
    <w:p w14:paraId="22051FA9">
      <w:pPr>
        <w:pStyle w:val="162"/>
      </w:pPr>
      <w:r>
        <w:rPr>
          <w:rFonts w:hint="eastAsia"/>
        </w:rPr>
        <w:t>产地位于合肥市东南部，东临南淝河、南望巢湖，内圩水网密布，地表水资源丰富且水质纯净。</w:t>
      </w:r>
    </w:p>
    <w:p w14:paraId="2155065E">
      <w:pPr>
        <w:pStyle w:val="162"/>
      </w:pPr>
      <w:r>
        <w:rPr>
          <w:rFonts w:hint="eastAsia"/>
        </w:rPr>
        <w:t>产地气候属北亚热带季风湿润性气候，雨热同期特征明显，四季分明且雨量适中，年均降水量达1057.2毫米，夏季(6月～8月)降水量约占全年41.1%，保障了葡萄的生长用水需要。</w:t>
      </w:r>
    </w:p>
    <w:p w14:paraId="7FA9AC9B">
      <w:pPr>
        <w:pStyle w:val="162"/>
      </w:pPr>
      <w:r>
        <w:rPr>
          <w:rFonts w:hint="eastAsia"/>
        </w:rPr>
        <w:t>产地年平均气温15.7℃，昼夜温差受巢湖影响显著，夏季白天均温常超25℃，夜间降温快，利于葡萄糖分积累与营养物质合成。</w:t>
      </w:r>
    </w:p>
    <w:p w14:paraId="5263F4BC">
      <w:pPr>
        <w:pStyle w:val="104"/>
        <w:spacing w:before="312" w:after="312"/>
      </w:pPr>
      <w:r>
        <w:t>技术要求</w:t>
      </w:r>
    </w:p>
    <w:p w14:paraId="090354F8">
      <w:pPr>
        <w:pStyle w:val="105"/>
        <w:spacing w:before="156" w:after="156"/>
      </w:pPr>
      <w:r>
        <w:rPr>
          <w:rFonts w:hint="eastAsia"/>
        </w:rPr>
        <w:t>品种</w:t>
      </w:r>
    </w:p>
    <w:p w14:paraId="32DF609B">
      <w:pPr>
        <w:pStyle w:val="56"/>
        <w:ind w:firstLine="420"/>
      </w:pPr>
      <w:r>
        <w:rPr>
          <w:rFonts w:hint="eastAsia"/>
        </w:rPr>
        <w:t>巨峰、夏黑。</w:t>
      </w:r>
    </w:p>
    <w:p w14:paraId="67BEE884">
      <w:pPr>
        <w:pStyle w:val="105"/>
        <w:spacing w:before="156" w:after="156"/>
      </w:pPr>
      <w:r>
        <w:rPr>
          <w:rFonts w:hint="eastAsia"/>
        </w:rPr>
        <w:t>立地条件</w:t>
      </w:r>
    </w:p>
    <w:p w14:paraId="0C89C2C2">
      <w:pPr>
        <w:pStyle w:val="56"/>
        <w:ind w:firstLine="420"/>
      </w:pPr>
      <w:r>
        <w:rPr>
          <w:rFonts w:hint="eastAsia"/>
        </w:rPr>
        <w:t>土壤类型为水稻土亚类，耕作层厚度（20～30）cm，有机质含量≥1.5%，土壤pH值5.50～6.0。</w:t>
      </w:r>
    </w:p>
    <w:p w14:paraId="34870771">
      <w:pPr>
        <w:pStyle w:val="105"/>
        <w:spacing w:before="156" w:after="156"/>
      </w:pPr>
      <w:r>
        <w:rPr>
          <w:rFonts w:hint="eastAsia"/>
        </w:rPr>
        <w:t>栽培管理</w:t>
      </w:r>
    </w:p>
    <w:p w14:paraId="42348E10">
      <w:pPr>
        <w:pStyle w:val="65"/>
        <w:spacing w:before="156" w:after="156"/>
      </w:pPr>
      <w:r>
        <w:rPr>
          <w:rFonts w:hint="eastAsia"/>
        </w:rPr>
        <w:t>苗木繁育</w:t>
      </w:r>
    </w:p>
    <w:p w14:paraId="4BB0942C">
      <w:pPr>
        <w:pStyle w:val="56"/>
        <w:ind w:firstLine="420"/>
      </w:pPr>
      <w:r>
        <w:rPr>
          <w:rFonts w:hint="eastAsia"/>
        </w:rPr>
        <w:t>采用扦插或嫁接育苗，砧木为贝达。</w:t>
      </w:r>
    </w:p>
    <w:p w14:paraId="355FD597">
      <w:pPr>
        <w:pStyle w:val="65"/>
        <w:spacing w:before="156" w:after="156"/>
      </w:pPr>
      <w:r>
        <w:rPr>
          <w:rFonts w:hint="eastAsia"/>
        </w:rPr>
        <w:t>栽培方式</w:t>
      </w:r>
    </w:p>
    <w:p w14:paraId="7304D621">
      <w:pPr>
        <w:pStyle w:val="56"/>
        <w:ind w:firstLine="420"/>
      </w:pPr>
      <w:r>
        <w:rPr>
          <w:rFonts w:hint="eastAsia"/>
        </w:rPr>
        <w:t>采用露地或避雨栽培。</w:t>
      </w:r>
    </w:p>
    <w:p w14:paraId="14BA2F83">
      <w:pPr>
        <w:pStyle w:val="65"/>
        <w:spacing w:before="156" w:after="156"/>
      </w:pPr>
      <w:r>
        <w:rPr>
          <w:rFonts w:hint="eastAsia"/>
        </w:rPr>
        <w:t>定植</w:t>
      </w:r>
    </w:p>
    <w:p w14:paraId="59D83C93">
      <w:pPr>
        <w:pStyle w:val="56"/>
        <w:ind w:firstLine="420"/>
      </w:pPr>
      <w:r>
        <w:rPr>
          <w:rFonts w:hint="eastAsia"/>
        </w:rPr>
        <w:t>1 月上旬至 3 月下旬定植，棚架栽植密度为每公顷≤1600 株，篱架栽植密度为每公顷≤2700 株。</w:t>
      </w:r>
    </w:p>
    <w:p w14:paraId="38C2A7B8">
      <w:pPr>
        <w:pStyle w:val="65"/>
        <w:spacing w:before="156" w:after="156"/>
      </w:pPr>
      <w:bookmarkStart w:id="62" w:name="OLE_LINK265"/>
      <w:bookmarkStart w:id="63" w:name="OLE_LINK264"/>
      <w:r>
        <w:rPr>
          <w:rFonts w:hint="eastAsia"/>
        </w:rPr>
        <w:t>整形修剪</w:t>
      </w:r>
    </w:p>
    <w:p w14:paraId="06DDB0DE">
      <w:pPr>
        <w:pStyle w:val="56"/>
        <w:ind w:firstLine="420"/>
      </w:pPr>
      <w:r>
        <w:rPr>
          <w:rFonts w:hint="eastAsia"/>
        </w:rPr>
        <w:t xml:space="preserve">冬季修剪在落叶后3周～4 </w:t>
      </w:r>
      <w:bookmarkStart w:id="64" w:name="OLE_LINK268"/>
      <w:bookmarkStart w:id="65" w:name="OLE_LINK269"/>
      <w:r>
        <w:rPr>
          <w:rFonts w:hint="eastAsia"/>
        </w:rPr>
        <w:t>周</w:t>
      </w:r>
      <w:bookmarkEnd w:id="64"/>
      <w:bookmarkEnd w:id="65"/>
      <w:r>
        <w:rPr>
          <w:rFonts w:hint="eastAsia"/>
        </w:rPr>
        <w:t>至次年伤流期前 2周～3 周进行。夏季修剪在萌芽期进行。</w:t>
      </w:r>
    </w:p>
    <w:p w14:paraId="255FF5FA">
      <w:pPr>
        <w:pStyle w:val="65"/>
        <w:spacing w:before="156" w:after="156"/>
      </w:pPr>
      <w:r>
        <w:rPr>
          <w:rFonts w:hint="eastAsia"/>
        </w:rPr>
        <w:t>肥水管理</w:t>
      </w:r>
    </w:p>
    <w:p w14:paraId="5BAF9D4E">
      <w:pPr>
        <w:pStyle w:val="56"/>
        <w:ind w:firstLine="420"/>
      </w:pPr>
      <w:r>
        <w:rPr>
          <w:rFonts w:hint="eastAsia"/>
        </w:rPr>
        <w:t>每年每公顷施用腐熟有机肥≥45000kg，采收前 10 天停止灌水。</w:t>
      </w:r>
    </w:p>
    <w:bookmarkEnd w:id="62"/>
    <w:bookmarkEnd w:id="63"/>
    <w:p w14:paraId="247CC259">
      <w:pPr>
        <w:pStyle w:val="105"/>
        <w:spacing w:before="156" w:after="156"/>
      </w:pPr>
      <w:r>
        <w:rPr>
          <w:rFonts w:hint="eastAsia"/>
        </w:rPr>
        <w:t>采收</w:t>
      </w:r>
    </w:p>
    <w:p w14:paraId="7FE7B1B8">
      <w:pPr>
        <w:pStyle w:val="56"/>
        <w:ind w:firstLine="420"/>
      </w:pPr>
      <w:r>
        <w:rPr>
          <w:rFonts w:hint="eastAsia"/>
        </w:rPr>
        <w:t xml:space="preserve">7月上旬至8月中旬，巨峰呈紫红色、紫黑色，夏黑呈黑紫色、蓝黑色时采收。 </w:t>
      </w:r>
    </w:p>
    <w:p w14:paraId="35FE4598">
      <w:pPr>
        <w:pStyle w:val="104"/>
        <w:spacing w:before="312" w:after="312"/>
      </w:pPr>
      <w:r>
        <w:t>质量要求</w:t>
      </w:r>
    </w:p>
    <w:p w14:paraId="70A4393B">
      <w:pPr>
        <w:pStyle w:val="105"/>
        <w:spacing w:before="156" w:after="156"/>
      </w:pPr>
      <w:r>
        <w:rPr>
          <w:rFonts w:hint="eastAsia"/>
        </w:rPr>
        <w:t>感官特色</w:t>
      </w:r>
    </w:p>
    <w:p w14:paraId="2500D420">
      <w:pPr>
        <w:pStyle w:val="56"/>
        <w:ind w:firstLine="420"/>
      </w:pPr>
      <w:r>
        <w:rPr>
          <w:rFonts w:hint="eastAsia"/>
        </w:rPr>
        <w:t>果穗紧凑，粒大、均匀、</w:t>
      </w:r>
      <w:bookmarkStart w:id="66" w:name="OLE_LINK14"/>
      <w:bookmarkStart w:id="67" w:name="OLE_LINK307"/>
      <w:r>
        <w:rPr>
          <w:rFonts w:hint="eastAsia"/>
        </w:rPr>
        <w:t>果粒</w:t>
      </w:r>
      <w:bookmarkEnd w:id="66"/>
      <w:r>
        <w:rPr>
          <w:rFonts w:hint="eastAsia"/>
        </w:rPr>
        <w:t>整齐</w:t>
      </w:r>
      <w:bookmarkEnd w:id="67"/>
      <w:r>
        <w:rPr>
          <w:rFonts w:hint="eastAsia"/>
        </w:rPr>
        <w:t>度 95%以上，果皮色泽莹润。果肉口感细腻、柔软多汁、酸甜可口。</w:t>
      </w:r>
    </w:p>
    <w:p w14:paraId="25020307">
      <w:pPr>
        <w:pStyle w:val="105"/>
        <w:spacing w:before="156" w:after="156"/>
      </w:pPr>
      <w:r>
        <w:rPr>
          <w:rFonts w:hint="eastAsia"/>
        </w:rPr>
        <w:t>理化指标</w:t>
      </w:r>
    </w:p>
    <w:p w14:paraId="3692E82E">
      <w:pPr>
        <w:pStyle w:val="56"/>
        <w:ind w:firstLine="420"/>
      </w:pPr>
      <w:r>
        <w:rPr>
          <w:rFonts w:hint="eastAsia"/>
        </w:rPr>
        <w:t>可溶性固形物≥15.0%，糖酸比 40:1～60</w:t>
      </w:r>
      <w:bookmarkStart w:id="68" w:name="OLE_LINK277"/>
      <w:bookmarkStart w:id="69" w:name="OLE_LINK276"/>
      <w:r>
        <w:rPr>
          <w:rFonts w:hint="eastAsia"/>
        </w:rPr>
        <w:t>:1</w:t>
      </w:r>
      <w:bookmarkEnd w:id="68"/>
      <w:bookmarkEnd w:id="69"/>
      <w:r>
        <w:rPr>
          <w:rFonts w:hint="eastAsia"/>
        </w:rPr>
        <w:t>。</w:t>
      </w:r>
    </w:p>
    <w:p w14:paraId="6151C5E7">
      <w:pPr>
        <w:pStyle w:val="104"/>
        <w:spacing w:before="312" w:after="312"/>
      </w:pPr>
      <w:r>
        <w:t>检验方法</w:t>
      </w:r>
    </w:p>
    <w:p w14:paraId="05BE58CC">
      <w:pPr>
        <w:pStyle w:val="105"/>
        <w:spacing w:before="156" w:after="156"/>
      </w:pPr>
      <w:r>
        <w:t>感官特色</w:t>
      </w:r>
    </w:p>
    <w:p w14:paraId="609A2AD2">
      <w:pPr>
        <w:pStyle w:val="56"/>
        <w:ind w:firstLine="420"/>
      </w:pPr>
      <w:r>
        <w:rPr>
          <w:rFonts w:hint="eastAsia"/>
        </w:rPr>
        <w:t>果粒大小使用游标卡尺测量。目测果实颜色。</w:t>
      </w:r>
      <w:bookmarkStart w:id="70" w:name="OLE_LINK305"/>
      <w:bookmarkStart w:id="71" w:name="OLE_LINK306"/>
      <w:r>
        <w:rPr>
          <w:rFonts w:hint="eastAsia"/>
        </w:rPr>
        <w:t>洗净后品</w:t>
      </w:r>
      <w:bookmarkEnd w:id="70"/>
      <w:bookmarkEnd w:id="71"/>
      <w:r>
        <w:rPr>
          <w:rFonts w:hint="eastAsia"/>
        </w:rPr>
        <w:t>尝葡萄滋味。</w:t>
      </w:r>
    </w:p>
    <w:p w14:paraId="3E699B38">
      <w:pPr>
        <w:pStyle w:val="105"/>
        <w:spacing w:before="156" w:after="156"/>
      </w:pPr>
      <w:r>
        <w:rPr>
          <w:rFonts w:hint="eastAsia"/>
        </w:rPr>
        <w:t>可溶性固形物的测定</w:t>
      </w:r>
    </w:p>
    <w:p w14:paraId="7384E173">
      <w:pPr>
        <w:pStyle w:val="56"/>
        <w:ind w:firstLine="420"/>
      </w:pPr>
      <w:r>
        <w:rPr>
          <w:rFonts w:hint="eastAsia"/>
        </w:rPr>
        <w:t>按NY/T 2637的规定进行测定。</w:t>
      </w:r>
    </w:p>
    <w:p w14:paraId="797ED7CA">
      <w:pPr>
        <w:pStyle w:val="105"/>
        <w:spacing w:before="156" w:after="156"/>
      </w:pPr>
      <w:r>
        <w:rPr>
          <w:rFonts w:hint="eastAsia"/>
        </w:rPr>
        <w:t>糖酸比的测定</w:t>
      </w:r>
    </w:p>
    <w:p w14:paraId="63A032CB">
      <w:pPr>
        <w:pStyle w:val="65"/>
        <w:spacing w:before="156" w:after="156"/>
      </w:pPr>
      <w:r>
        <w:rPr>
          <w:rFonts w:hint="eastAsia"/>
        </w:rPr>
        <w:t>糖含量测定</w:t>
      </w:r>
    </w:p>
    <w:p w14:paraId="024E629A">
      <w:pPr>
        <w:pStyle w:val="56"/>
        <w:ind w:firstLine="420"/>
        <w:rPr>
          <w:shd w:val="clear" w:color="auto" w:fill="FFFFFF"/>
        </w:rPr>
      </w:pPr>
      <w:bookmarkStart w:id="72" w:name="OLE_LINK290"/>
      <w:bookmarkStart w:id="73" w:name="OLE_LINK289"/>
      <w:bookmarkStart w:id="74" w:name="OLE_LINK284"/>
      <w:r>
        <w:rPr>
          <w:shd w:val="clear" w:color="auto" w:fill="FFFFFF"/>
        </w:rPr>
        <w:t>按</w:t>
      </w:r>
      <w:bookmarkEnd w:id="72"/>
      <w:bookmarkEnd w:id="73"/>
      <w:bookmarkStart w:id="75" w:name="OLE_LINK292"/>
      <w:bookmarkStart w:id="76" w:name="OLE_LINK291"/>
      <w:r>
        <w:rPr>
          <w:shd w:val="clear" w:color="auto" w:fill="FFFFFF"/>
        </w:rPr>
        <w:t>NY/</w:t>
      </w:r>
      <w:r>
        <w:rPr>
          <w:rFonts w:hint="eastAsia"/>
        </w:rPr>
        <w:t>T 2742</w:t>
      </w:r>
      <w:r>
        <w:rPr>
          <w:shd w:val="clear" w:color="auto" w:fill="FFFFFF"/>
        </w:rPr>
        <w:t>的规定测定。</w:t>
      </w:r>
      <w:bookmarkEnd w:id="75"/>
      <w:bookmarkEnd w:id="76"/>
    </w:p>
    <w:bookmarkEnd w:id="74"/>
    <w:p w14:paraId="61CA7BE3">
      <w:pPr>
        <w:pStyle w:val="65"/>
        <w:spacing w:before="156" w:after="156"/>
      </w:pPr>
      <w:r>
        <w:rPr>
          <w:rFonts w:hint="eastAsia"/>
        </w:rPr>
        <w:t>可滴定酸含量测定</w:t>
      </w:r>
    </w:p>
    <w:p w14:paraId="4321EAF9">
      <w:pPr>
        <w:pStyle w:val="56"/>
        <w:ind w:firstLine="420"/>
        <w:rPr>
          <w:shd w:val="clear" w:color="auto" w:fill="FFFFFF"/>
        </w:rPr>
      </w:pPr>
      <w:r>
        <w:rPr>
          <w:shd w:val="clear" w:color="auto" w:fill="FFFFFF"/>
        </w:rPr>
        <w:t>按</w:t>
      </w:r>
      <w:r>
        <w:rPr>
          <w:rFonts w:hint="eastAsia"/>
        </w:rPr>
        <w:t>NY/T 839-2004附录B</w:t>
      </w:r>
      <w:r>
        <w:rPr>
          <w:shd w:val="clear" w:color="auto" w:fill="FFFFFF"/>
        </w:rPr>
        <w:t>的规定测定。</w:t>
      </w:r>
    </w:p>
    <w:p w14:paraId="696EAC08">
      <w:pPr>
        <w:pStyle w:val="65"/>
        <w:spacing w:before="156" w:after="156"/>
      </w:pPr>
      <w:r>
        <w:t>糖酸比计算</w:t>
      </w:r>
    </w:p>
    <w:p w14:paraId="3CC6DA27">
      <w:pPr>
        <w:pStyle w:val="56"/>
        <w:ind w:firstLine="420"/>
      </w:pPr>
      <w:r>
        <w:rPr>
          <w:rFonts w:hint="eastAsia"/>
        </w:rPr>
        <w:t>糖酸比按公式（1）计算。</w:t>
      </w:r>
    </w:p>
    <w:p w14:paraId="4D70085C">
      <w:pPr>
        <w:pStyle w:val="113"/>
      </w:pPr>
      <w:r>
        <w:tab/>
      </w:r>
      <m:oMath>
        <m:r>
          <m:rPr>
            <m:sty m:val="p"/>
          </m:rPr>
          <w:rPr>
            <w:rFonts w:ascii="Cambria Math" w:hAnsi="Cambria Math"/>
          </w:rPr>
          <m:t>r=</m:t>
        </m:r>
      </m:oMath>
      <w:r>
        <w:rPr>
          <w:rFonts w:hint="eastAsia"/>
        </w:rPr>
        <w:t xml:space="preserve"> q</w:t>
      </w:r>
      <w:r>
        <w:rPr>
          <w:rFonts w:hint="eastAsia"/>
          <w:vertAlign w:val="subscript"/>
        </w:rPr>
        <w:t>1</w:t>
      </w:r>
      <w:r>
        <w:rPr>
          <w:rFonts w:hint="eastAsia"/>
        </w:rPr>
        <w:t>/q</w:t>
      </w:r>
      <w:r>
        <w:rPr>
          <w:rFonts w:hint="eastAsia"/>
          <w:vertAlign w:val="subscript"/>
        </w:rPr>
        <w:t>2</w:t>
      </w:r>
      <w:r>
        <w:rPr>
          <w:rFonts w:ascii="微软雅黑" w:hAnsi="微软雅黑" w:eastAsia="微软雅黑"/>
        </w:rPr>
        <w:tab/>
      </w:r>
      <w:r>
        <w:t>(</w:t>
      </w:r>
      <w:r>
        <w:fldChar w:fldCharType="begin"/>
      </w:r>
      <w:r>
        <w:instrText xml:space="preserve"> AUTONUM </w:instrText>
      </w:r>
      <w:r>
        <w:fldChar w:fldCharType="end"/>
      </w:r>
      <w:r>
        <w:t>)</w:t>
      </w:r>
    </w:p>
    <w:p w14:paraId="3377F868">
      <w:pPr>
        <w:pStyle w:val="55"/>
        <w:ind w:firstLine="420"/>
      </w:pPr>
      <w:r>
        <w:rPr>
          <w:rFonts w:hint="eastAsia"/>
        </w:rPr>
        <w:t>式中：</w:t>
      </w:r>
    </w:p>
    <w:p w14:paraId="0B6F5B59">
      <w:pPr>
        <w:pStyle w:val="55"/>
        <w:ind w:firstLine="1050" w:firstLineChars="500"/>
      </w:pPr>
      <w:r>
        <w:rPr>
          <w:rFonts w:hint="eastAsia"/>
        </w:rPr>
        <w:t>r为糖酸比；</w:t>
      </w:r>
    </w:p>
    <w:p w14:paraId="2D1BCB16">
      <w:pPr>
        <w:pStyle w:val="56"/>
        <w:ind w:firstLine="420"/>
      </w:pPr>
      <w:r>
        <w:rPr>
          <w:rFonts w:hint="eastAsia"/>
        </w:rPr>
        <w:t xml:space="preserve">      q</w:t>
      </w:r>
      <w:r>
        <w:rPr>
          <w:rFonts w:hint="eastAsia"/>
          <w:vertAlign w:val="subscript"/>
        </w:rPr>
        <w:t>1</w:t>
      </w:r>
      <w:r>
        <w:rPr>
          <w:rFonts w:hint="eastAsia"/>
        </w:rPr>
        <w:t>为可溶性糖含量，%；</w:t>
      </w:r>
    </w:p>
    <w:p w14:paraId="44C5593E">
      <w:pPr>
        <w:pStyle w:val="56"/>
        <w:ind w:firstLine="420"/>
      </w:pPr>
      <w:r>
        <w:rPr>
          <w:rFonts w:hint="eastAsia"/>
        </w:rPr>
        <w:t xml:space="preserve">      q</w:t>
      </w:r>
      <w:r>
        <w:rPr>
          <w:rFonts w:hint="eastAsia"/>
          <w:vertAlign w:val="subscript"/>
        </w:rPr>
        <w:t>2</w:t>
      </w:r>
      <w:r>
        <w:rPr>
          <w:rFonts w:hint="eastAsia"/>
        </w:rPr>
        <w:t>为可滴定酸含量，%。</w:t>
      </w:r>
    </w:p>
    <w:p w14:paraId="78693FA9">
      <w:pPr>
        <w:pStyle w:val="104"/>
        <w:spacing w:before="312" w:after="312"/>
      </w:pPr>
      <w:r>
        <w:t>检验规则</w:t>
      </w:r>
    </w:p>
    <w:p w14:paraId="40FFC1C8">
      <w:pPr>
        <w:pStyle w:val="105"/>
        <w:spacing w:before="156" w:after="156"/>
      </w:pPr>
      <w:r>
        <w:t>组批</w:t>
      </w:r>
    </w:p>
    <w:p w14:paraId="0078D8B4">
      <w:pPr>
        <w:pStyle w:val="56"/>
        <w:ind w:firstLine="420"/>
      </w:pPr>
      <w:r>
        <w:rPr>
          <w:rFonts w:hint="eastAsia"/>
        </w:rPr>
        <w:t>同一产地、同一品种、同一时间采收的葡萄为一个批次。</w:t>
      </w:r>
    </w:p>
    <w:p w14:paraId="7C75949C">
      <w:pPr>
        <w:pStyle w:val="105"/>
        <w:spacing w:before="156" w:after="156"/>
      </w:pPr>
      <w:r>
        <w:t>抽样方法</w:t>
      </w:r>
    </w:p>
    <w:p w14:paraId="73911C81">
      <w:pPr>
        <w:pStyle w:val="56"/>
        <w:ind w:firstLine="420"/>
      </w:pPr>
      <w:r>
        <w:rPr>
          <w:rFonts w:hint="eastAsia"/>
        </w:rPr>
        <w:t>按GB/T 8855的规定抽样。</w:t>
      </w:r>
    </w:p>
    <w:p w14:paraId="49341DBA">
      <w:pPr>
        <w:pStyle w:val="105"/>
        <w:spacing w:before="156" w:after="156"/>
      </w:pPr>
      <w:r>
        <w:rPr>
          <w:rFonts w:hint="eastAsia"/>
        </w:rPr>
        <w:t>检验分类</w:t>
      </w:r>
    </w:p>
    <w:p w14:paraId="71D7E39F">
      <w:pPr>
        <w:pStyle w:val="65"/>
        <w:spacing w:before="156" w:after="156"/>
      </w:pPr>
      <w:r>
        <w:rPr>
          <w:rFonts w:hint="eastAsia"/>
        </w:rPr>
        <w:t>交收检验</w:t>
      </w:r>
    </w:p>
    <w:p w14:paraId="0D64A83E">
      <w:pPr>
        <w:pStyle w:val="56"/>
        <w:ind w:firstLine="420"/>
      </w:pPr>
      <w:r>
        <w:rPr>
          <w:rFonts w:hint="eastAsia"/>
        </w:rPr>
        <w:t>每批次产品交收前，生产单位都应进行交收检验，交收检验内容包括感官评价。理化指标、安全及其他质量要求由交易双方根据合同选检，检验合格方可交收。</w:t>
      </w:r>
      <w:bookmarkStart w:id="84" w:name="_GoBack"/>
      <w:bookmarkEnd w:id="84"/>
    </w:p>
    <w:p w14:paraId="2ABD3A3E">
      <w:pPr>
        <w:pStyle w:val="65"/>
        <w:spacing w:before="156" w:after="156"/>
      </w:pPr>
      <w:r>
        <w:rPr>
          <w:rFonts w:hint="eastAsia"/>
        </w:rPr>
        <w:t>型式检验</w:t>
      </w:r>
    </w:p>
    <w:p w14:paraId="43DEA56E">
      <w:pPr>
        <w:pStyle w:val="56"/>
        <w:ind w:firstLine="420"/>
      </w:pPr>
      <w:r>
        <w:rPr>
          <w:rFonts w:hint="eastAsia"/>
        </w:rPr>
        <w:t>型式检验项目为本文件规定的全部项目。</w:t>
      </w:r>
    </w:p>
    <w:p w14:paraId="6E013361">
      <w:pPr>
        <w:pStyle w:val="56"/>
        <w:ind w:firstLine="420"/>
      </w:pPr>
      <w:r>
        <w:rPr>
          <w:rFonts w:hint="eastAsia"/>
        </w:rPr>
        <w:t>有下列情形之一时应进行型式检验：</w:t>
      </w:r>
    </w:p>
    <w:p w14:paraId="7A4E2C5E">
      <w:pPr>
        <w:pStyle w:val="56"/>
        <w:numPr>
          <w:ilvl w:val="0"/>
          <w:numId w:val="32"/>
        </w:numPr>
        <w:ind w:firstLineChars="0"/>
      </w:pPr>
      <w:r>
        <w:rPr>
          <w:rFonts w:hint="eastAsia"/>
        </w:rPr>
        <w:t>申请使用地理标志产品专用标志时；</w:t>
      </w:r>
    </w:p>
    <w:p w14:paraId="526241B0">
      <w:pPr>
        <w:pStyle w:val="56"/>
        <w:numPr>
          <w:ilvl w:val="0"/>
          <w:numId w:val="32"/>
        </w:numPr>
        <w:ind w:firstLineChars="0"/>
      </w:pPr>
      <w:r>
        <w:rPr>
          <w:rFonts w:hint="eastAsia"/>
        </w:rPr>
        <w:t>前后两次抽样检验结果差异较大；</w:t>
      </w:r>
    </w:p>
    <w:p w14:paraId="77ADEE18">
      <w:pPr>
        <w:pStyle w:val="56"/>
        <w:ind w:firstLine="420"/>
      </w:pPr>
      <w:r>
        <w:rPr>
          <w:rFonts w:hint="eastAsia"/>
        </w:rPr>
        <w:t>b）因人为或自然因素使生产环境发生较大变化；</w:t>
      </w:r>
    </w:p>
    <w:p w14:paraId="2DFAE081">
      <w:pPr>
        <w:pStyle w:val="56"/>
        <w:ind w:firstLine="420"/>
      </w:pPr>
      <w:r>
        <w:rPr>
          <w:rFonts w:hint="eastAsia"/>
        </w:rPr>
        <w:t>c）市场监管及相关行业部门提出型式检验要求时。</w:t>
      </w:r>
    </w:p>
    <w:p w14:paraId="202BC011">
      <w:pPr>
        <w:pStyle w:val="105"/>
        <w:spacing w:before="156" w:after="156"/>
      </w:pPr>
      <w:r>
        <w:rPr>
          <w:rFonts w:hint="eastAsia"/>
        </w:rPr>
        <w:t>判定规则</w:t>
      </w:r>
    </w:p>
    <w:p w14:paraId="7DF13FC8">
      <w:pPr>
        <w:pStyle w:val="165"/>
      </w:pPr>
      <w:r>
        <w:rPr>
          <w:rFonts w:hint="eastAsia"/>
        </w:rPr>
        <w:t>检验项目全部符合本文件规定，则判该批次产品合格。</w:t>
      </w:r>
    </w:p>
    <w:p w14:paraId="0C43A9A0">
      <w:pPr>
        <w:pStyle w:val="165"/>
      </w:pPr>
      <w:r>
        <w:rPr>
          <w:rFonts w:hint="eastAsia"/>
        </w:rPr>
        <w:t>感官评价、理化指标若有一项指标不合格，允许在该批次产品中加倍抽样，对不合格项进行复检。若复检合格，则判该批次产品合格，反之，则判该批次产品不合格。</w:t>
      </w:r>
    </w:p>
    <w:p w14:paraId="21A05CB4">
      <w:pPr>
        <w:pStyle w:val="104"/>
        <w:spacing w:before="312" w:after="312"/>
      </w:pPr>
      <w:r>
        <w:t>标志、包装、运输和贮存</w:t>
      </w:r>
    </w:p>
    <w:p w14:paraId="4B5628D6">
      <w:pPr>
        <w:pStyle w:val="105"/>
        <w:spacing w:before="156" w:after="156"/>
      </w:pPr>
      <w:r>
        <w:t>标志</w:t>
      </w:r>
    </w:p>
    <w:p w14:paraId="0C2CF1F3">
      <w:pPr>
        <w:pStyle w:val="56"/>
        <w:ind w:firstLine="420"/>
      </w:pPr>
      <w:r>
        <w:rPr>
          <w:rFonts w:hint="eastAsia"/>
        </w:rPr>
        <w:t>符合本文件要求的产品方可在产品标签或包装物上标注地理标志名称及本文件的标准代号，并应同时使用经国家知识产权行政管理部门核准公告的地理标志专用标志。</w:t>
      </w:r>
    </w:p>
    <w:p w14:paraId="1F0F7F7A">
      <w:pPr>
        <w:pStyle w:val="105"/>
        <w:spacing w:before="156" w:after="156"/>
      </w:pPr>
      <w:r>
        <w:t>包装</w:t>
      </w:r>
    </w:p>
    <w:p w14:paraId="0547E47C">
      <w:pPr>
        <w:pStyle w:val="165"/>
      </w:pPr>
      <w:r>
        <w:rPr>
          <w:rFonts w:hint="eastAsia"/>
        </w:rPr>
        <w:t>包装储运图示应符合GB/T 191的规定。</w:t>
      </w:r>
    </w:p>
    <w:p w14:paraId="5F9B2960">
      <w:pPr>
        <w:pStyle w:val="165"/>
      </w:pPr>
      <w:r>
        <w:rPr>
          <w:rFonts w:hint="eastAsia"/>
        </w:rPr>
        <w:t>包装材料及标记应无毒性。内包装材料应为食品接触材料。</w:t>
      </w:r>
    </w:p>
    <w:p w14:paraId="33AFBC07">
      <w:pPr>
        <w:pStyle w:val="165"/>
      </w:pPr>
      <w:r>
        <w:rPr>
          <w:rFonts w:hint="eastAsia"/>
        </w:rPr>
        <w:t>包装容器应坚固耐用，清洁卫生，干燥无异味。包装上应有对产品具良好的保护作用的通气孔。包装内不得混有杂物，不得有刺伤鲜果实的尖突物。</w:t>
      </w:r>
    </w:p>
    <w:p w14:paraId="6BFB8D40">
      <w:pPr>
        <w:pStyle w:val="105"/>
        <w:spacing w:before="156" w:after="156"/>
      </w:pPr>
      <w:r>
        <w:t>运输</w:t>
      </w:r>
    </w:p>
    <w:p w14:paraId="14BB30B0">
      <w:pPr>
        <w:pStyle w:val="165"/>
      </w:pPr>
      <w:r>
        <w:rPr>
          <w:rFonts w:hint="eastAsia"/>
        </w:rPr>
        <w:t>待运输葡萄应批次分明，堆放整齐，存放环境清洁，通风良好。</w:t>
      </w:r>
    </w:p>
    <w:p w14:paraId="10FE7CBF">
      <w:pPr>
        <w:pStyle w:val="165"/>
      </w:pPr>
      <w:r>
        <w:rPr>
          <w:rFonts w:hint="eastAsia"/>
        </w:rPr>
        <w:t>运输工具应清洁卫生。严禁与有毒、有异味等有害物品混装、混运。运输可采用预冷运输、冷藏车或冷藏集装箱等运输方式。</w:t>
      </w:r>
      <w:bookmarkStart w:id="77" w:name="OLE_LINK302"/>
      <w:bookmarkStart w:id="78" w:name="OLE_LINK303"/>
      <w:bookmarkStart w:id="79" w:name="OLE_LINK301"/>
    </w:p>
    <w:p w14:paraId="5AC18A2C">
      <w:pPr>
        <w:pStyle w:val="165"/>
      </w:pPr>
      <w:r>
        <w:rPr>
          <w:rFonts w:hint="eastAsia"/>
        </w:rPr>
        <w:t>运</w:t>
      </w:r>
      <w:bookmarkStart w:id="80" w:name="OLE_LINK299"/>
      <w:bookmarkStart w:id="81" w:name="OLE_LINK300"/>
      <w:r>
        <w:rPr>
          <w:rFonts w:hint="eastAsia"/>
        </w:rPr>
        <w:t>输时应有防护，不应露天运输，注</w:t>
      </w:r>
      <w:bookmarkEnd w:id="77"/>
      <w:bookmarkEnd w:id="78"/>
      <w:r>
        <w:rPr>
          <w:rFonts w:hint="eastAsia"/>
        </w:rPr>
        <w:t>意防热。</w:t>
      </w:r>
      <w:bookmarkEnd w:id="79"/>
      <w:bookmarkEnd w:id="80"/>
      <w:bookmarkEnd w:id="81"/>
      <w:r>
        <w:rPr>
          <w:rFonts w:hint="eastAsia"/>
        </w:rPr>
        <w:t>装卸时应轻搬轻放。</w:t>
      </w:r>
    </w:p>
    <w:p w14:paraId="27571129">
      <w:pPr>
        <w:pStyle w:val="105"/>
        <w:spacing w:before="156" w:after="156"/>
      </w:pPr>
      <w:r>
        <w:rPr>
          <w:rFonts w:hint="eastAsia"/>
        </w:rPr>
        <w:t>贮存</w:t>
      </w:r>
    </w:p>
    <w:p w14:paraId="1FD5D8CE">
      <w:pPr>
        <w:pStyle w:val="56"/>
        <w:ind w:firstLine="420"/>
      </w:pPr>
      <w:r>
        <w:rPr>
          <w:rFonts w:hint="eastAsia"/>
        </w:rPr>
        <w:t>不应与有毒、有害、有异味的物品接触、混储。不应露天存放。</w:t>
      </w:r>
    </w:p>
    <w:p w14:paraId="7AF5843C">
      <w:pPr>
        <w:pStyle w:val="56"/>
        <w:ind w:firstLine="420"/>
      </w:pPr>
      <w:r>
        <w:rPr>
          <w:rFonts w:hint="eastAsia"/>
        </w:rPr>
        <w:t>宜先预冷后进入冷藏库或气调库。库内应清洁卫生，通风良好。</w:t>
      </w:r>
    </w:p>
    <w:p w14:paraId="00156626">
      <w:pPr>
        <w:pStyle w:val="56"/>
        <w:ind w:firstLine="420"/>
      </w:pPr>
    </w:p>
    <w:bookmarkEnd w:id="60"/>
    <w:bookmarkEnd w:id="61"/>
    <w:p w14:paraId="1F0BA1AB">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8"/>
    <w:p w14:paraId="6D2FD613">
      <w:pPr>
        <w:pStyle w:val="198"/>
        <w:rPr>
          <w:vanish w:val="0"/>
        </w:rPr>
      </w:pPr>
      <w:bookmarkStart w:id="82" w:name="BookMark5"/>
    </w:p>
    <w:p w14:paraId="07458E31">
      <w:pPr>
        <w:pStyle w:val="199"/>
        <w:rPr>
          <w:vanish w:val="0"/>
        </w:rPr>
      </w:pPr>
    </w:p>
    <w:p w14:paraId="01EF8523">
      <w:pPr>
        <w:pStyle w:val="76"/>
        <w:spacing w:after="156"/>
      </w:pPr>
      <w:r>
        <w:br w:type="textWrapping"/>
      </w:r>
      <w:r>
        <w:rPr>
          <w:rFonts w:hint="eastAsia"/>
        </w:rPr>
        <w:t>（规范性）</w:t>
      </w:r>
      <w:r>
        <w:br w:type="textWrapping"/>
      </w:r>
      <w:r>
        <w:rPr>
          <w:rFonts w:hint="eastAsia"/>
        </w:rPr>
        <w:t>大圩葡萄保护范围图</w:t>
      </w:r>
    </w:p>
    <w:p w14:paraId="5F198CC0">
      <w:pPr>
        <w:pStyle w:val="56"/>
        <w:ind w:firstLine="420"/>
      </w:pPr>
      <w:r>
        <w:rPr>
          <w:rFonts w:hint="eastAsia"/>
        </w:rPr>
        <w:t>大圩葡萄保护范围为合肥市包河区大圩镇，见图A.1。</w:t>
      </w:r>
    </w:p>
    <w:p w14:paraId="131CEEA4">
      <w:pPr>
        <w:pStyle w:val="56"/>
        <w:ind w:firstLine="420"/>
        <w:jc w:val="center"/>
      </w:pPr>
      <w:r>
        <w:drawing>
          <wp:inline distT="0" distB="0" distL="0" distR="0">
            <wp:extent cx="3863340" cy="5025390"/>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63340" cy="5025390"/>
                    </a:xfrm>
                    <a:prstGeom prst="rect">
                      <a:avLst/>
                    </a:prstGeom>
                    <a:noFill/>
                    <a:ln>
                      <a:noFill/>
                    </a:ln>
                  </pic:spPr>
                </pic:pic>
              </a:graphicData>
            </a:graphic>
          </wp:inline>
        </w:drawing>
      </w:r>
    </w:p>
    <w:p w14:paraId="311C7A33">
      <w:pPr>
        <w:pStyle w:val="83"/>
        <w:spacing w:before="156" w:after="156"/>
      </w:pPr>
    </w:p>
    <w:p w14:paraId="26134EF4">
      <w:pPr>
        <w:pStyle w:val="56"/>
        <w:ind w:firstLine="420"/>
      </w:pPr>
    </w:p>
    <w:p w14:paraId="0ED5FBBC">
      <w:pPr>
        <w:pStyle w:val="56"/>
        <w:ind w:firstLine="420"/>
      </w:pPr>
    </w:p>
    <w:bookmarkEnd w:id="82"/>
    <w:p w14:paraId="6ED428D5">
      <w:pPr>
        <w:pStyle w:val="56"/>
        <w:ind w:firstLine="0" w:firstLineChars="0"/>
        <w:jc w:val="center"/>
      </w:pPr>
      <w:bookmarkStart w:id="8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8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292A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F7C0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A99F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36EB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D3A7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A55E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6F6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1DD81">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B402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8C808D6"/>
    <w:multiLevelType w:val="multilevel"/>
    <w:tmpl w:val="38C808D6"/>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hAns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Full" w:cryptAlgorithmClass="hash" w:cryptAlgorithmType="typeAny" w:cryptAlgorithmSid="4" w:cryptSpinCount="100000" w:hash="DbseV7RTL3HDS9D1dWMBpmK2TK0=" w:salt="r6+4wPOKkdbVT9XMOZxu4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8B"/>
    <w:rsid w:val="0000040A"/>
    <w:rsid w:val="00000A94"/>
    <w:rsid w:val="00001972"/>
    <w:rsid w:val="00001D9A"/>
    <w:rsid w:val="00007B3A"/>
    <w:rsid w:val="000107E0"/>
    <w:rsid w:val="00011FDE"/>
    <w:rsid w:val="00012FFD"/>
    <w:rsid w:val="00014162"/>
    <w:rsid w:val="00014340"/>
    <w:rsid w:val="00016A9C"/>
    <w:rsid w:val="00022184"/>
    <w:rsid w:val="00022762"/>
    <w:rsid w:val="000232AC"/>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BA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9B1"/>
    <w:rsid w:val="000B1FF2"/>
    <w:rsid w:val="000B3CDA"/>
    <w:rsid w:val="000B6A0B"/>
    <w:rsid w:val="000C0F6C"/>
    <w:rsid w:val="000C11DB"/>
    <w:rsid w:val="000C1492"/>
    <w:rsid w:val="000C1B23"/>
    <w:rsid w:val="000C2FBD"/>
    <w:rsid w:val="000C4B41"/>
    <w:rsid w:val="000C57D6"/>
    <w:rsid w:val="000C6362"/>
    <w:rsid w:val="000C7666"/>
    <w:rsid w:val="000D0A9C"/>
    <w:rsid w:val="000D1795"/>
    <w:rsid w:val="000D329A"/>
    <w:rsid w:val="000D4B9C"/>
    <w:rsid w:val="000D4EB6"/>
    <w:rsid w:val="000D753B"/>
    <w:rsid w:val="000E4C9E"/>
    <w:rsid w:val="000E54DD"/>
    <w:rsid w:val="000E6FD7"/>
    <w:rsid w:val="000F06E1"/>
    <w:rsid w:val="000F0E3C"/>
    <w:rsid w:val="000F19D5"/>
    <w:rsid w:val="000F4AEA"/>
    <w:rsid w:val="000F633F"/>
    <w:rsid w:val="000F67E9"/>
    <w:rsid w:val="00104926"/>
    <w:rsid w:val="00105CBA"/>
    <w:rsid w:val="00113B1E"/>
    <w:rsid w:val="001151C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33C"/>
    <w:rsid w:val="00172EF4"/>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43C"/>
    <w:rsid w:val="002253A1"/>
    <w:rsid w:val="00225CF8"/>
    <w:rsid w:val="0022794E"/>
    <w:rsid w:val="00233D64"/>
    <w:rsid w:val="0023482A"/>
    <w:rsid w:val="002359CB"/>
    <w:rsid w:val="00243540"/>
    <w:rsid w:val="0024497B"/>
    <w:rsid w:val="00244A6E"/>
    <w:rsid w:val="0024515B"/>
    <w:rsid w:val="00246021"/>
    <w:rsid w:val="0024666E"/>
    <w:rsid w:val="00247F52"/>
    <w:rsid w:val="00250B25"/>
    <w:rsid w:val="00250BBE"/>
    <w:rsid w:val="002515C2"/>
    <w:rsid w:val="0025194F"/>
    <w:rsid w:val="00256F6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1C7"/>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562"/>
    <w:rsid w:val="002F30E0"/>
    <w:rsid w:val="002F35E4"/>
    <w:rsid w:val="002F3730"/>
    <w:rsid w:val="002F38E1"/>
    <w:rsid w:val="002F3FC4"/>
    <w:rsid w:val="002F7AF6"/>
    <w:rsid w:val="00300E63"/>
    <w:rsid w:val="00302F5F"/>
    <w:rsid w:val="0030441D"/>
    <w:rsid w:val="00306063"/>
    <w:rsid w:val="00313B85"/>
    <w:rsid w:val="00317988"/>
    <w:rsid w:val="003221B4"/>
    <w:rsid w:val="0032258D"/>
    <w:rsid w:val="00322E62"/>
    <w:rsid w:val="00324D13"/>
    <w:rsid w:val="00324D2A"/>
    <w:rsid w:val="00324EDD"/>
    <w:rsid w:val="00326B3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8B9"/>
    <w:rsid w:val="003974EB"/>
    <w:rsid w:val="00397CC5"/>
    <w:rsid w:val="003A1582"/>
    <w:rsid w:val="003A4077"/>
    <w:rsid w:val="003B09AD"/>
    <w:rsid w:val="003B1F18"/>
    <w:rsid w:val="003B5BF0"/>
    <w:rsid w:val="003B60BF"/>
    <w:rsid w:val="003B6BE3"/>
    <w:rsid w:val="003C010C"/>
    <w:rsid w:val="003C0A6C"/>
    <w:rsid w:val="003C14F8"/>
    <w:rsid w:val="003C5A43"/>
    <w:rsid w:val="003C670E"/>
    <w:rsid w:val="003D0519"/>
    <w:rsid w:val="003D0FF6"/>
    <w:rsid w:val="003D262C"/>
    <w:rsid w:val="003D6D61"/>
    <w:rsid w:val="003D79C6"/>
    <w:rsid w:val="003E091D"/>
    <w:rsid w:val="003E0C77"/>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877"/>
    <w:rsid w:val="00405884"/>
    <w:rsid w:val="00407D39"/>
    <w:rsid w:val="00413700"/>
    <w:rsid w:val="0041477A"/>
    <w:rsid w:val="00414B8B"/>
    <w:rsid w:val="004167A3"/>
    <w:rsid w:val="00432CCD"/>
    <w:rsid w:val="00432DAA"/>
    <w:rsid w:val="004332E7"/>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5C1"/>
    <w:rsid w:val="00481C44"/>
    <w:rsid w:val="00484936"/>
    <w:rsid w:val="00485C89"/>
    <w:rsid w:val="00486BE3"/>
    <w:rsid w:val="004905E4"/>
    <w:rsid w:val="00490A89"/>
    <w:rsid w:val="00490AB4"/>
    <w:rsid w:val="00491ADE"/>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5C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97E"/>
    <w:rsid w:val="00561475"/>
    <w:rsid w:val="0056487B"/>
    <w:rsid w:val="00564FB9"/>
    <w:rsid w:val="00573D9E"/>
    <w:rsid w:val="005801E3"/>
    <w:rsid w:val="005808B2"/>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3BA"/>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A40"/>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DC2"/>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183"/>
    <w:rsid w:val="006D4515"/>
    <w:rsid w:val="006D4BB1"/>
    <w:rsid w:val="006D6593"/>
    <w:rsid w:val="006E23EA"/>
    <w:rsid w:val="006F03A8"/>
    <w:rsid w:val="006F2ACA"/>
    <w:rsid w:val="006F2ADC"/>
    <w:rsid w:val="006F2BFE"/>
    <w:rsid w:val="006F31E9"/>
    <w:rsid w:val="006F3B8A"/>
    <w:rsid w:val="006F6284"/>
    <w:rsid w:val="007002C5"/>
    <w:rsid w:val="00704387"/>
    <w:rsid w:val="00707669"/>
    <w:rsid w:val="00711CBA"/>
    <w:rsid w:val="00711FB5"/>
    <w:rsid w:val="00712A01"/>
    <w:rsid w:val="00714F58"/>
    <w:rsid w:val="00722FBF"/>
    <w:rsid w:val="00722FC2"/>
    <w:rsid w:val="00724879"/>
    <w:rsid w:val="00724E1B"/>
    <w:rsid w:val="00725949"/>
    <w:rsid w:val="00727E94"/>
    <w:rsid w:val="00727FA2"/>
    <w:rsid w:val="007322D9"/>
    <w:rsid w:val="00732BC0"/>
    <w:rsid w:val="007359DA"/>
    <w:rsid w:val="0073720F"/>
    <w:rsid w:val="00737796"/>
    <w:rsid w:val="0074165C"/>
    <w:rsid w:val="00742C35"/>
    <w:rsid w:val="007432CA"/>
    <w:rsid w:val="007439EB"/>
    <w:rsid w:val="00743CB4"/>
    <w:rsid w:val="00743F0A"/>
    <w:rsid w:val="007444E8"/>
    <w:rsid w:val="0074548E"/>
    <w:rsid w:val="00745773"/>
    <w:rsid w:val="00746800"/>
    <w:rsid w:val="00747B43"/>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64B"/>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5A"/>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E3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676"/>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777"/>
    <w:rsid w:val="00945180"/>
    <w:rsid w:val="00945428"/>
    <w:rsid w:val="0094607B"/>
    <w:rsid w:val="00953604"/>
    <w:rsid w:val="0095496B"/>
    <w:rsid w:val="009610DC"/>
    <w:rsid w:val="00961490"/>
    <w:rsid w:val="0096381A"/>
    <w:rsid w:val="00965E04"/>
    <w:rsid w:val="009674AD"/>
    <w:rsid w:val="00967F8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EB6"/>
    <w:rsid w:val="009C27F1"/>
    <w:rsid w:val="009C3152"/>
    <w:rsid w:val="009C4CFA"/>
    <w:rsid w:val="009C5070"/>
    <w:rsid w:val="009D05FD"/>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CF9"/>
    <w:rsid w:val="00A862D6"/>
    <w:rsid w:val="00A8715E"/>
    <w:rsid w:val="00A87E24"/>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11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499"/>
    <w:rsid w:val="00B12981"/>
    <w:rsid w:val="00B147DD"/>
    <w:rsid w:val="00B156FD"/>
    <w:rsid w:val="00B21F61"/>
    <w:rsid w:val="00B261F1"/>
    <w:rsid w:val="00B265BC"/>
    <w:rsid w:val="00B31FB1"/>
    <w:rsid w:val="00B33952"/>
    <w:rsid w:val="00B33C5E"/>
    <w:rsid w:val="00B342F4"/>
    <w:rsid w:val="00B34369"/>
    <w:rsid w:val="00B34DC2"/>
    <w:rsid w:val="00B378E5"/>
    <w:rsid w:val="00B41E9E"/>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C03"/>
    <w:rsid w:val="00B827A6"/>
    <w:rsid w:val="00B831CE"/>
    <w:rsid w:val="00B86677"/>
    <w:rsid w:val="00B87131"/>
    <w:rsid w:val="00B939B1"/>
    <w:rsid w:val="00B96D40"/>
    <w:rsid w:val="00B97386"/>
    <w:rsid w:val="00BA1D68"/>
    <w:rsid w:val="00BA263B"/>
    <w:rsid w:val="00BA42B2"/>
    <w:rsid w:val="00BA58D4"/>
    <w:rsid w:val="00BA5B9E"/>
    <w:rsid w:val="00BA7C9A"/>
    <w:rsid w:val="00BB203B"/>
    <w:rsid w:val="00BB5F8F"/>
    <w:rsid w:val="00BB657A"/>
    <w:rsid w:val="00BC1A4E"/>
    <w:rsid w:val="00BC3572"/>
    <w:rsid w:val="00BC4790"/>
    <w:rsid w:val="00BC5DC7"/>
    <w:rsid w:val="00BC6B8B"/>
    <w:rsid w:val="00BC73D8"/>
    <w:rsid w:val="00BD52D7"/>
    <w:rsid w:val="00BD5AD2"/>
    <w:rsid w:val="00BD7A37"/>
    <w:rsid w:val="00BE22F3"/>
    <w:rsid w:val="00BE5B52"/>
    <w:rsid w:val="00BE7B8D"/>
    <w:rsid w:val="00BF0993"/>
    <w:rsid w:val="00BF10A9"/>
    <w:rsid w:val="00BF1703"/>
    <w:rsid w:val="00BF231C"/>
    <w:rsid w:val="00BF51E5"/>
    <w:rsid w:val="00BF74A6"/>
    <w:rsid w:val="00C013AD"/>
    <w:rsid w:val="00C04904"/>
    <w:rsid w:val="00C056B3"/>
    <w:rsid w:val="00C103E5"/>
    <w:rsid w:val="00C11A09"/>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DAB"/>
    <w:rsid w:val="00C55232"/>
    <w:rsid w:val="00C553A4"/>
    <w:rsid w:val="00C55A06"/>
    <w:rsid w:val="00C55D03"/>
    <w:rsid w:val="00C601BC"/>
    <w:rsid w:val="00C6329F"/>
    <w:rsid w:val="00C63340"/>
    <w:rsid w:val="00C643F9"/>
    <w:rsid w:val="00C64E95"/>
    <w:rsid w:val="00C7003E"/>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DFB"/>
    <w:rsid w:val="00CC5233"/>
    <w:rsid w:val="00CC5DE6"/>
    <w:rsid w:val="00CC6E4E"/>
    <w:rsid w:val="00CC6FE8"/>
    <w:rsid w:val="00CC7202"/>
    <w:rsid w:val="00CD2808"/>
    <w:rsid w:val="00CD28BF"/>
    <w:rsid w:val="00CD4092"/>
    <w:rsid w:val="00CD4A20"/>
    <w:rsid w:val="00CD50A1"/>
    <w:rsid w:val="00CD519E"/>
    <w:rsid w:val="00CD561D"/>
    <w:rsid w:val="00CD5FAB"/>
    <w:rsid w:val="00CD7C06"/>
    <w:rsid w:val="00CE0C4F"/>
    <w:rsid w:val="00CE30EA"/>
    <w:rsid w:val="00CE4C80"/>
    <w:rsid w:val="00CF048A"/>
    <w:rsid w:val="00CF155A"/>
    <w:rsid w:val="00CF2947"/>
    <w:rsid w:val="00CF2F2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592"/>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E24"/>
    <w:rsid w:val="00D84FA1"/>
    <w:rsid w:val="00D851F0"/>
    <w:rsid w:val="00D86DB7"/>
    <w:rsid w:val="00D91932"/>
    <w:rsid w:val="00D926D0"/>
    <w:rsid w:val="00D93030"/>
    <w:rsid w:val="00D946F2"/>
    <w:rsid w:val="00D94AFD"/>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AEA"/>
    <w:rsid w:val="00DC5B90"/>
    <w:rsid w:val="00DD00FF"/>
    <w:rsid w:val="00DD0619"/>
    <w:rsid w:val="00DD07FB"/>
    <w:rsid w:val="00DD25C6"/>
    <w:rsid w:val="00DD4FE5"/>
    <w:rsid w:val="00DD54B0"/>
    <w:rsid w:val="00DD57EE"/>
    <w:rsid w:val="00DD6BCC"/>
    <w:rsid w:val="00DD6DED"/>
    <w:rsid w:val="00DE0A4B"/>
    <w:rsid w:val="00DE2410"/>
    <w:rsid w:val="00DE2939"/>
    <w:rsid w:val="00DE6E81"/>
    <w:rsid w:val="00DE703F"/>
    <w:rsid w:val="00DE7595"/>
    <w:rsid w:val="00DF1961"/>
    <w:rsid w:val="00DF44DE"/>
    <w:rsid w:val="00DF4780"/>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368"/>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627"/>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1DF2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664A661453349358A7DC7CBC8FC80F9"/>
        <w:style w:val=""/>
        <w:category>
          <w:name w:val="常规"/>
          <w:gallery w:val="placeholder"/>
        </w:category>
        <w:types>
          <w:type w:val="bbPlcHdr"/>
        </w:types>
        <w:behaviors>
          <w:behavior w:val="content"/>
        </w:behaviors>
        <w:description w:val=""/>
        <w:guid w:val="{EE909910-BAD8-4042-A5E3-7411FDA4AAA2}"/>
      </w:docPartPr>
      <w:docPartBody>
        <w:p w14:paraId="0AE505D6">
          <w:pPr>
            <w:pStyle w:val="5"/>
          </w:pPr>
          <w:r>
            <w:rPr>
              <w:rStyle w:val="4"/>
              <w:rFonts w:hint="eastAsia"/>
            </w:rPr>
            <w:t>单击或点击此处输入文字。</w:t>
          </w:r>
        </w:p>
      </w:docPartBody>
    </w:docPart>
    <w:docPart>
      <w:docPartPr>
        <w:name w:val="FC1ED53E4B32472084B8FDD4E538EDC1"/>
        <w:style w:val=""/>
        <w:category>
          <w:name w:val="常规"/>
          <w:gallery w:val="placeholder"/>
        </w:category>
        <w:types>
          <w:type w:val="bbPlcHdr"/>
        </w:types>
        <w:behaviors>
          <w:behavior w:val="content"/>
        </w:behaviors>
        <w:description w:val=""/>
        <w:guid w:val="{2EDFE611-E3B4-4745-A84E-2301B5D034E3}"/>
      </w:docPartPr>
      <w:docPartBody>
        <w:p w14:paraId="5AF1C4FF">
          <w:pPr>
            <w:pStyle w:val="6"/>
          </w:pPr>
          <w:r>
            <w:rPr>
              <w:rStyle w:val="4"/>
              <w:rFonts w:hint="eastAsia"/>
            </w:rPr>
            <w:t>选择一项。</w:t>
          </w:r>
        </w:p>
      </w:docPartBody>
    </w:docPart>
    <w:docPart>
      <w:docPartPr>
        <w:name w:val="E3AAC2EA122F4504867F260A92230189"/>
        <w:style w:val=""/>
        <w:category>
          <w:name w:val="常规"/>
          <w:gallery w:val="placeholder"/>
        </w:category>
        <w:types>
          <w:type w:val="bbPlcHdr"/>
        </w:types>
        <w:behaviors>
          <w:behavior w:val="content"/>
        </w:behaviors>
        <w:description w:val=""/>
        <w:guid w:val="{795B5C17-3836-4533-A166-035EDD9AE3F3}"/>
      </w:docPartPr>
      <w:docPartBody>
        <w:p w14:paraId="6278B4C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69"/>
    <w:rsid w:val="001F55D5"/>
    <w:rsid w:val="003722C5"/>
    <w:rsid w:val="00417902"/>
    <w:rsid w:val="00481F4E"/>
    <w:rsid w:val="00503BDC"/>
    <w:rsid w:val="005C246A"/>
    <w:rsid w:val="006353B6"/>
    <w:rsid w:val="006727D7"/>
    <w:rsid w:val="006E587E"/>
    <w:rsid w:val="00864E82"/>
    <w:rsid w:val="00967A55"/>
    <w:rsid w:val="009F5769"/>
    <w:rsid w:val="00A47B9B"/>
    <w:rsid w:val="00C35ED5"/>
    <w:rsid w:val="00C5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664A661453349358A7DC7CBC8FC80F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C1ED53E4B32472084B8FDD4E538EDC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3AAC2EA122F4504867F260A9223018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A4593A-5EAF-4941-9C27-4CAD16B7A21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888</Words>
  <Characters>1066</Characters>
  <Lines>19</Lines>
  <Paragraphs>5</Paragraphs>
  <TotalTime>5</TotalTime>
  <ScaleCrop>false</ScaleCrop>
  <LinksUpToDate>false</LinksUpToDate>
  <CharactersWithSpaces>1112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2025-02-05T01:47:00Z</dcterms:created>
  <dc:creator>程宁</dc:creator>
  <dc:description>&lt;config cover="true" show_menu="true" version="1.0.0" doctype="SDKXY"&gt;_x000d_
&lt;/config&gt;</dc:description>
  <cp:lastModifiedBy>忐忑</cp:lastModifiedBy>
  <cp:lastPrinted>2025-05-27T00:46:00Z</cp:lastPrinted>
  <dcterms:modified xsi:type="dcterms:W3CDTF">2025-11-12T08:08:07Z</dcterms:modified>
  <dc:title>地方标准</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2052-12.1.0.23542</vt:lpwstr>
  </property>
  <property fmtid="{D5CDD505-2E9C-101B-9397-08002B2CF9AE}" pid="16" name="ICV">
    <vt:lpwstr>547A7C85D61344918456883594954549_12</vt:lpwstr>
  </property>
</Properties>
</file>